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6564DF" w:rsidRPr="00AB4906" w:rsidRDefault="006564DF" w:rsidP="0065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0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B4906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AB4906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районной </w:t>
      </w:r>
      <w:r w:rsidR="00AB4906" w:rsidRPr="00AB490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564DF" w:rsidRPr="00AB4906" w:rsidRDefault="006564DF" w:rsidP="0065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06">
        <w:rPr>
          <w:rFonts w:ascii="Times New Roman" w:hAnsi="Times New Roman" w:cs="Times New Roman"/>
          <w:b/>
          <w:sz w:val="28"/>
          <w:szCs w:val="28"/>
        </w:rPr>
        <w:t>Апрель 2016</w:t>
      </w:r>
    </w:p>
    <w:p w:rsidR="006564DF" w:rsidRPr="00AB4906" w:rsidRDefault="006564DF" w:rsidP="00656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7" w:type="dxa"/>
        <w:tblInd w:w="421" w:type="dxa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1412"/>
        <w:gridCol w:w="1989"/>
        <w:gridCol w:w="1077"/>
        <w:gridCol w:w="2273"/>
        <w:gridCol w:w="2410"/>
        <w:gridCol w:w="2468"/>
      </w:tblGrid>
      <w:tr w:rsidR="006564DF" w:rsidRPr="006564DF" w:rsidTr="006564D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учеников, писавших работу в параллели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«5»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(«4» + «5»)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 («3» + «4»+ «5»)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баллов, полученное учащимися параллели за раздел "</w:t>
            </w:r>
            <w:r w:rsidRPr="0065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баллов, полученное учащимися параллели за раздел "</w:t>
            </w:r>
            <w:r w:rsidRPr="0065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 и лексика</w:t>
            </w: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баллов, полученное учащимися параллели за раздел "</w:t>
            </w:r>
            <w:r w:rsidRPr="0065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Словообразование"</w:t>
            </w:r>
          </w:p>
        </w:tc>
      </w:tr>
      <w:tr w:rsidR="006564DF" w:rsidRPr="006564DF" w:rsidTr="006564DF">
        <w:trPr>
          <w:trHeight w:val="12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6564DF" w:rsidRPr="006564DF" w:rsidTr="006564D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64DF" w:rsidRPr="006564DF" w:rsidTr="006564DF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6564DF" w:rsidRPr="006564DF" w:rsidTr="006564DF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лицею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DF" w:rsidRPr="006564DF" w:rsidRDefault="006564DF" w:rsidP="0065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4DF" w:rsidRDefault="006564DF" w:rsidP="00656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4DF" w:rsidRDefault="006564DF" w:rsidP="00656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4DF" w:rsidRPr="006564DF" w:rsidRDefault="006564DF" w:rsidP="00656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4DF" w:rsidRDefault="006564DF"/>
    <w:p w:rsidR="006564DF" w:rsidRPr="006564DF" w:rsidRDefault="006564DF" w:rsidP="0043611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40907A3" wp14:editId="32A102F6">
            <wp:extent cx="9953625" cy="6496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564DF" w:rsidRPr="006564DF" w:rsidSect="006564DF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3"/>
    <w:rsid w:val="00111046"/>
    <w:rsid w:val="00124FEB"/>
    <w:rsid w:val="001C5E73"/>
    <w:rsid w:val="003E560C"/>
    <w:rsid w:val="00420BDB"/>
    <w:rsid w:val="00423907"/>
    <w:rsid w:val="00436114"/>
    <w:rsid w:val="00542971"/>
    <w:rsid w:val="00634922"/>
    <w:rsid w:val="006564DF"/>
    <w:rsid w:val="007E5C62"/>
    <w:rsid w:val="00A94DD9"/>
    <w:rsid w:val="00AB4906"/>
    <w:rsid w:val="00D37545"/>
    <w:rsid w:val="00EE15F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047C"/>
  <w15:chartTrackingRefBased/>
  <w15:docId w15:val="{8E83D717-518C-4C45-9F1D-5FD1E3A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@\1%20&#1082;&#1072;&#1092;&#1077;&#1076;&#1088;&#1072;\&#1084;&#1086;&#1085;&#1080;&#1090;&#1086;&#1088;&#1080;&#1085;&#1075;\&#1076;&#1080;&#1072;&#1075;&#1085;&#1086;&#1089;&#1090;&#1080;&#1082;&#1072;\&#1076;&#1082;&#1088;%202016\&#1048;&#1058;&#1054;&#1043;%20&#1040;&#1055;&#1056;&#1045;&#1051;&#1068;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b="1" i="0">
                <a:solidFill>
                  <a:sysClr val="windowText" lastClr="000000"/>
                </a:solidFill>
              </a:rPr>
              <a:t>анализ результатов  диагностической районной  работы</a:t>
            </a:r>
          </a:p>
          <a:p>
            <a:pPr>
              <a:defRPr/>
            </a:pPr>
            <a:r>
              <a:rPr lang="ru-RU" b="1" i="0">
                <a:solidFill>
                  <a:sysClr val="windowText" lastClr="000000"/>
                </a:solidFill>
              </a:rPr>
              <a:t>по английскому языку ГБОУ лицей №179  апрель 201</a:t>
            </a:r>
            <a:r>
              <a:rPr lang="en-GB" b="1" i="0">
                <a:solidFill>
                  <a:sysClr val="windowText" lastClr="000000"/>
                </a:solidFill>
              </a:rPr>
              <a:t>6</a:t>
            </a:r>
            <a:endParaRPr lang="ru-RU" b="1" i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198564844466212"/>
          <c:y val="9.77517106549364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31200944379567E-4"/>
          <c:y val="0.34972821945643889"/>
          <c:w val="0.99904687990556207"/>
          <c:h val="0.606614942926855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свод!$A$4</c:f>
              <c:strCache>
                <c:ptCount val="1"/>
                <c:pt idx="0">
                  <c:v>параллель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свод!$A$5:$A$15</c:f>
              <c:numCache>
                <c:formatCode>General</c:formatCode>
                <c:ptCount val="11"/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0-477A-B055-2D52B476756B}"/>
            </c:ext>
          </c:extLst>
        </c:ser>
        <c:ser>
          <c:idx val="1"/>
          <c:order val="1"/>
          <c:tx>
            <c:strRef>
              <c:f>свод!$B$4</c:f>
              <c:strCache>
                <c:ptCount val="1"/>
                <c:pt idx="0">
                  <c:v>Кол- учеников, писавших работу в параллели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свод!$B$5:$B$15</c:f>
              <c:numCache>
                <c:formatCode>0</c:formatCode>
                <c:ptCount val="11"/>
                <c:pt idx="1">
                  <c:v>96</c:v>
                </c:pt>
                <c:pt idx="2">
                  <c:v>92</c:v>
                </c:pt>
                <c:pt idx="3">
                  <c:v>105</c:v>
                </c:pt>
                <c:pt idx="4">
                  <c:v>107</c:v>
                </c:pt>
                <c:pt idx="5">
                  <c:v>81</c:v>
                </c:pt>
                <c:pt idx="6">
                  <c:v>71</c:v>
                </c:pt>
                <c:pt idx="7">
                  <c:v>65</c:v>
                </c:pt>
                <c:pt idx="8">
                  <c:v>48</c:v>
                </c:pt>
                <c:pt idx="9">
                  <c:v>49</c:v>
                </c:pt>
                <c:pt idx="1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0-477A-B055-2D52B476756B}"/>
            </c:ext>
          </c:extLst>
        </c:ser>
        <c:ser>
          <c:idx val="2"/>
          <c:order val="2"/>
          <c:tx>
            <c:strRef>
              <c:f>свод!$C$4</c:f>
              <c:strCache>
                <c:ptCount val="1"/>
                <c:pt idx="0">
                  <c:v>% «5»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свод!$C$5:$C$15</c:f>
              <c:numCache>
                <c:formatCode>0</c:formatCode>
                <c:ptCount val="11"/>
                <c:pt idx="1">
                  <c:v>61</c:v>
                </c:pt>
                <c:pt idx="2">
                  <c:v>12.6</c:v>
                </c:pt>
                <c:pt idx="3">
                  <c:v>23.8</c:v>
                </c:pt>
                <c:pt idx="4">
                  <c:v>19.899999999999999</c:v>
                </c:pt>
                <c:pt idx="5">
                  <c:v>44.5</c:v>
                </c:pt>
                <c:pt idx="6">
                  <c:v>13.8</c:v>
                </c:pt>
                <c:pt idx="7">
                  <c:v>19.3</c:v>
                </c:pt>
                <c:pt idx="8">
                  <c:v>14.8</c:v>
                </c:pt>
                <c:pt idx="9">
                  <c:v>22.3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0-477A-B055-2D52B476756B}"/>
            </c:ext>
          </c:extLst>
        </c:ser>
        <c:ser>
          <c:idx val="3"/>
          <c:order val="3"/>
          <c:tx>
            <c:strRef>
              <c:f>свод!$D$4</c:f>
              <c:strCache>
                <c:ptCount val="1"/>
                <c:pt idx="0">
                  <c:v>% качества («4» + «5»)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свод!$D$5:$D$15</c:f>
              <c:numCache>
                <c:formatCode>0</c:formatCode>
                <c:ptCount val="11"/>
                <c:pt idx="1">
                  <c:v>81</c:v>
                </c:pt>
                <c:pt idx="2">
                  <c:v>54.4</c:v>
                </c:pt>
                <c:pt idx="3">
                  <c:v>69.3</c:v>
                </c:pt>
                <c:pt idx="4">
                  <c:v>60</c:v>
                </c:pt>
                <c:pt idx="5">
                  <c:v>82.5</c:v>
                </c:pt>
                <c:pt idx="6">
                  <c:v>55.6</c:v>
                </c:pt>
                <c:pt idx="7">
                  <c:v>48.3</c:v>
                </c:pt>
                <c:pt idx="8">
                  <c:v>77.5</c:v>
                </c:pt>
                <c:pt idx="9">
                  <c:v>75.5</c:v>
                </c:pt>
                <c:pt idx="10">
                  <c:v>48.1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70-477A-B055-2D52B476756B}"/>
            </c:ext>
          </c:extLst>
        </c:ser>
        <c:ser>
          <c:idx val="4"/>
          <c:order val="4"/>
          <c:tx>
            <c:strRef>
              <c:f>свод!$E$4</c:f>
              <c:strCache>
                <c:ptCount val="1"/>
                <c:pt idx="0">
                  <c:v>% успеваемости («3» + «4»+ «5»)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свод!$E$5:$E$15</c:f>
              <c:numCache>
                <c:formatCode>0</c:formatCode>
                <c:ptCount val="11"/>
                <c:pt idx="1">
                  <c:v>99</c:v>
                </c:pt>
                <c:pt idx="2">
                  <c:v>95.6</c:v>
                </c:pt>
                <c:pt idx="3">
                  <c:v>92.8</c:v>
                </c:pt>
                <c:pt idx="4">
                  <c:v>100</c:v>
                </c:pt>
                <c:pt idx="5">
                  <c:v>99.5</c:v>
                </c:pt>
                <c:pt idx="6">
                  <c:v>98.7</c:v>
                </c:pt>
                <c:pt idx="7">
                  <c:v>98</c:v>
                </c:pt>
                <c:pt idx="8">
                  <c:v>98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70-477A-B055-2D52B476756B}"/>
            </c:ext>
          </c:extLst>
        </c:ser>
        <c:ser>
          <c:idx val="5"/>
          <c:order val="5"/>
          <c:tx>
            <c:strRef>
              <c:f>свод!$F$4</c:f>
              <c:strCache>
                <c:ptCount val="1"/>
                <c:pt idx="0">
                  <c:v>Средняя оценка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6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свод!$F$5:$F$15</c:f>
              <c:numCache>
                <c:formatCode>0.0</c:formatCode>
                <c:ptCount val="11"/>
                <c:pt idx="1">
                  <c:v>4.4000000000000004</c:v>
                </c:pt>
                <c:pt idx="2">
                  <c:v>3.6</c:v>
                </c:pt>
                <c:pt idx="3">
                  <c:v>3.9</c:v>
                </c:pt>
                <c:pt idx="4">
                  <c:v>3.9</c:v>
                </c:pt>
                <c:pt idx="5">
                  <c:v>4.3</c:v>
                </c:pt>
                <c:pt idx="6">
                  <c:v>3.6</c:v>
                </c:pt>
                <c:pt idx="7">
                  <c:v>3.8</c:v>
                </c:pt>
                <c:pt idx="8">
                  <c:v>3.7</c:v>
                </c:pt>
                <c:pt idx="9">
                  <c:v>4</c:v>
                </c:pt>
                <c:pt idx="1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70-477A-B055-2D52B476756B}"/>
            </c:ext>
          </c:extLst>
        </c:ser>
        <c:ser>
          <c:idx val="6"/>
          <c:order val="6"/>
          <c:tx>
            <c:strRef>
              <c:f>свод!$G$4</c:f>
              <c:strCache>
                <c:ptCount val="1"/>
                <c:pt idx="0">
                  <c:v>Среднее количество баллов, полученное учащимися параллели за раздел "Чтение"</c:v>
                </c:pt>
              </c:strCache>
            </c:strRef>
          </c:tx>
          <c:spPr>
            <a:solidFill>
              <a:schemeClr val="accent1">
                <a:lumMod val="60000"/>
                <a:alpha val="88000"/>
              </a:schemeClr>
            </a:solidFill>
            <a:ln>
              <a:solidFill>
                <a:schemeClr val="accent1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свод!$G$5:$G$15</c:f>
              <c:numCache>
                <c:formatCode>General</c:formatCode>
                <c:ptCount val="11"/>
                <c:pt idx="8">
                  <c:v>14.1</c:v>
                </c:pt>
                <c:pt idx="10" formatCode="0.0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70-477A-B055-2D52B476756B}"/>
            </c:ext>
          </c:extLst>
        </c:ser>
        <c:ser>
          <c:idx val="7"/>
          <c:order val="7"/>
          <c:tx>
            <c:strRef>
              <c:f>свод!$H$4</c:f>
              <c:strCache>
                <c:ptCount val="1"/>
                <c:pt idx="0">
                  <c:v>Среднее количество баллов, полученное учащимися параллели за раздел "Грамматика и лексика"</c:v>
                </c:pt>
              </c:strCache>
            </c:strRef>
          </c:tx>
          <c:spPr>
            <a:solidFill>
              <a:schemeClr val="accent2">
                <a:lumMod val="60000"/>
                <a:alpha val="88000"/>
              </a:schemeClr>
            </a:solidFill>
            <a:ln>
              <a:solidFill>
                <a:schemeClr val="accent2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свод!$H$5:$H$15</c:f>
              <c:numCache>
                <c:formatCode>General</c:formatCode>
                <c:ptCount val="11"/>
                <c:pt idx="8">
                  <c:v>4.9000000000000004</c:v>
                </c:pt>
                <c:pt idx="10" formatCode="0.0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70-477A-B055-2D52B476756B}"/>
            </c:ext>
          </c:extLst>
        </c:ser>
        <c:ser>
          <c:idx val="8"/>
          <c:order val="8"/>
          <c:tx>
            <c:strRef>
              <c:f>свод!$I$4</c:f>
              <c:strCache>
                <c:ptCount val="1"/>
                <c:pt idx="0">
                  <c:v>Среднее количество баллов, полученное учащимися параллели за раздел "Слово-образование"</c:v>
                </c:pt>
              </c:strCache>
            </c:strRef>
          </c:tx>
          <c:spPr>
            <a:solidFill>
              <a:schemeClr val="accent3">
                <a:lumMod val="60000"/>
                <a:alpha val="88000"/>
              </a:schemeClr>
            </a:solidFill>
            <a:ln>
              <a:solidFill>
                <a:schemeClr val="accent3">
                  <a:lumMod val="60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60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lumMod val="60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свод!$I$5:$I$15</c:f>
              <c:numCache>
                <c:formatCode>General</c:formatCode>
                <c:ptCount val="11"/>
                <c:pt idx="8">
                  <c:v>2.9</c:v>
                </c:pt>
                <c:pt idx="10" formatCode="0.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70-477A-B055-2D52B47675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14445376"/>
        <c:axId val="314444200"/>
        <c:axId val="0"/>
      </c:bar3DChart>
      <c:catAx>
        <c:axId val="3144453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444200"/>
        <c:crosses val="autoZero"/>
        <c:auto val="1"/>
        <c:lblAlgn val="ctr"/>
        <c:lblOffset val="100"/>
        <c:noMultiLvlLbl val="0"/>
      </c:catAx>
      <c:valAx>
        <c:axId val="314444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4445376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9.8755243571093221E-2"/>
          <c:w val="0.63678850669982046"/>
          <c:h val="0.249524249351529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B050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M</dc:creator>
  <cp:keywords/>
  <dc:description/>
  <cp:lastModifiedBy>Александра M</cp:lastModifiedBy>
  <cp:revision>8</cp:revision>
  <dcterms:created xsi:type="dcterms:W3CDTF">2016-04-10T11:08:00Z</dcterms:created>
  <dcterms:modified xsi:type="dcterms:W3CDTF">2016-05-21T17:54:00Z</dcterms:modified>
</cp:coreProperties>
</file>